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34104C">
              <w:rPr>
                <w:sz w:val="20"/>
                <w:szCs w:val="20"/>
              </w:rPr>
              <w:t>май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дер. Коваши, д. 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Коваши, дом 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муниципальный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Лебяжье, ул. Кооперативная, участок 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81FD2">
              <w:rPr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пос. Лебяжье, ул. Гагарина, д.1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пос. Лебяжье, ул. Зеленая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81FD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Черная </w:t>
            </w:r>
            <w:proofErr w:type="spellStart"/>
            <w:r>
              <w:rPr>
                <w:sz w:val="20"/>
                <w:szCs w:val="20"/>
              </w:rPr>
              <w:t>Лахта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lastRenderedPageBreak/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81FD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пос. Лебяжье, ул. Гагарина, 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81FD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Шепелевская</w:t>
            </w:r>
            <w:proofErr w:type="spellEnd"/>
            <w:r>
              <w:rPr>
                <w:sz w:val="20"/>
                <w:szCs w:val="20"/>
              </w:rPr>
              <w:t xml:space="preserve"> волость, д. Коваши, ул. Заречная, д. 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81FD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Шепелевская</w:t>
            </w:r>
            <w:proofErr w:type="spellEnd"/>
            <w:r>
              <w:rPr>
                <w:sz w:val="20"/>
                <w:szCs w:val="20"/>
              </w:rPr>
              <w:t xml:space="preserve"> волость, д. Коваши, дом 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B81FD2" w:rsidRDefault="00B81FD2" w:rsidP="00815DC2">
      <w:pPr>
        <w:pStyle w:val="1"/>
        <w:spacing w:line="200" w:lineRule="exact"/>
        <w:rPr>
          <w:b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Pr="00B81FD2" w:rsidRDefault="00B81FD2" w:rsidP="00B81FD2">
      <w:bookmarkStart w:id="0" w:name="_GoBack"/>
      <w:bookmarkEnd w:id="0"/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81FD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» </w:t>
            </w:r>
            <w:r w:rsidR="00B81FD2"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 xml:space="preserve">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34104C"/>
    <w:rsid w:val="00477D31"/>
    <w:rsid w:val="00597A8C"/>
    <w:rsid w:val="005B688A"/>
    <w:rsid w:val="00617A3D"/>
    <w:rsid w:val="00686184"/>
    <w:rsid w:val="00736AF4"/>
    <w:rsid w:val="007D1989"/>
    <w:rsid w:val="00810A62"/>
    <w:rsid w:val="00815DC2"/>
    <w:rsid w:val="0084527E"/>
    <w:rsid w:val="00956F68"/>
    <w:rsid w:val="00AD6F47"/>
    <w:rsid w:val="00B74B22"/>
    <w:rsid w:val="00B81FD2"/>
    <w:rsid w:val="00C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613E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2018-06-01T06:39:00Z</dcterms:created>
  <dcterms:modified xsi:type="dcterms:W3CDTF">2018-06-01T06:52:00Z</dcterms:modified>
</cp:coreProperties>
</file>